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rsidTr="00DD192E">
        <w:tc>
          <w:tcPr>
            <w:tcW w:w="12758" w:type="dxa"/>
            <w:gridSpan w:val="2"/>
            <w:tcBorders>
              <w:right w:val="single" w:sz="8" w:space="0" w:color="000000"/>
            </w:tcBorders>
            <w:shd w:val="clear" w:color="auto" w:fill="DEEAF6" w:themeFill="accent1" w:themeFillTint="33"/>
          </w:tcPr>
          <w:p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rsidR="00DD192E" w:rsidRPr="00F55B6C" w:rsidRDefault="00DD192E" w:rsidP="00F55B6C">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lang w:val="bg-BG"/>
              </w:rPr>
              <w:t xml:space="preserve">ОБЩИНА: </w:t>
            </w:r>
            <w:r w:rsidR="00F55B6C">
              <w:rPr>
                <w:rFonts w:ascii="Times New Roman" w:eastAsia="Calibri" w:hAnsi="Times New Roman" w:cs="Times New Roman"/>
                <w:b/>
                <w:lang w:val="bg-BG"/>
              </w:rPr>
              <w:t>Свищов</w:t>
            </w:r>
          </w:p>
        </w:tc>
      </w:tr>
      <w:tr w:rsidR="002442AF" w:rsidRPr="002442AF" w:rsidTr="002442AF">
        <w:tc>
          <w:tcPr>
            <w:tcW w:w="8931" w:type="dxa"/>
            <w:shd w:val="clear" w:color="auto" w:fill="FFFFFF" w:themeFill="background1"/>
          </w:tcPr>
          <w:p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rsidTr="002442AF">
        <w:tc>
          <w:tcPr>
            <w:tcW w:w="15248" w:type="dxa"/>
            <w:gridSpan w:val="3"/>
            <w:tcBorders>
              <w:bottom w:val="single" w:sz="4" w:space="0" w:color="auto"/>
            </w:tcBorders>
            <w:shd w:val="clear" w:color="auto" w:fill="FBE4D5" w:themeFill="accent2" w:themeFillTint="33"/>
          </w:tcPr>
          <w:p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rsidTr="002442AF">
        <w:tc>
          <w:tcPr>
            <w:tcW w:w="8931" w:type="dxa"/>
            <w:shd w:val="clear" w:color="auto" w:fill="FFFFFF" w:themeFill="background1"/>
          </w:tcPr>
          <w:p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rsidR="002442AF" w:rsidRPr="008573D0" w:rsidRDefault="00F55B6C" w:rsidP="00F55B6C">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Служителите имат одобрени годишни планове. Оценява се изпълнението им на два етапа. Извършва се анализ на потенциала на служителите и необходимостта от повишаване на квалификацията. </w:t>
            </w:r>
          </w:p>
        </w:tc>
        <w:tc>
          <w:tcPr>
            <w:tcW w:w="2490" w:type="dxa"/>
            <w:shd w:val="clear" w:color="auto" w:fill="FFFFFF" w:themeFill="background1"/>
          </w:tcPr>
          <w:p w:rsidR="002442AF" w:rsidRPr="008573D0" w:rsidRDefault="00F55B6C"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41164" w:rsidRPr="002442AF" w:rsidTr="002442AF">
        <w:tc>
          <w:tcPr>
            <w:tcW w:w="15248" w:type="dxa"/>
            <w:gridSpan w:val="3"/>
            <w:shd w:val="clear" w:color="auto" w:fill="FBE4D5" w:themeFill="accent2" w:themeFillTint="33"/>
          </w:tcPr>
          <w:p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rsidTr="002442AF">
        <w:tc>
          <w:tcPr>
            <w:tcW w:w="8931" w:type="dxa"/>
            <w:shd w:val="clear" w:color="auto" w:fill="FFFFFF" w:themeFill="background1"/>
          </w:tcPr>
          <w:p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rsidR="002442AF" w:rsidRPr="00F55B6C" w:rsidRDefault="00F55B6C" w:rsidP="00F55B6C">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В няколко вътрешно документа са утвърдени правилата свързани с възнагражденията на служителите. В атестационните формуляри има предложения за кариерно развитие.</w:t>
            </w:r>
          </w:p>
        </w:tc>
        <w:tc>
          <w:tcPr>
            <w:tcW w:w="2490" w:type="dxa"/>
            <w:shd w:val="clear" w:color="auto" w:fill="FFFFFF" w:themeFill="background1"/>
          </w:tcPr>
          <w:p w:rsidR="002442AF" w:rsidRPr="008573D0" w:rsidRDefault="00F55B6C"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8931" w:type="dxa"/>
            <w:shd w:val="clear" w:color="auto" w:fill="FFFFFF" w:themeFill="background1"/>
          </w:tcPr>
          <w:p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rsidR="002442AF" w:rsidRPr="008573D0" w:rsidRDefault="008B038B" w:rsidP="008B038B">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Утвърдени са процедури за подбор на персонал. Същите гарантират последователна политика и обезпечаване на процесите с квалифицирани кадри. Конкурсите са публично достъпни.</w:t>
            </w:r>
          </w:p>
        </w:tc>
        <w:tc>
          <w:tcPr>
            <w:tcW w:w="2490" w:type="dxa"/>
            <w:shd w:val="clear" w:color="auto" w:fill="FFFFFF" w:themeFill="background1"/>
          </w:tcPr>
          <w:p w:rsidR="002442AF" w:rsidRPr="008573D0" w:rsidRDefault="008B038B"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8931" w:type="dxa"/>
            <w:shd w:val="clear" w:color="auto" w:fill="FFFFFF" w:themeFill="background1"/>
          </w:tcPr>
          <w:p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rsidR="002442AF" w:rsidRPr="008573D0" w:rsidRDefault="00F31476" w:rsidP="00F31476">
            <w:pPr>
              <w:spacing w:line="276" w:lineRule="auto"/>
              <w:rPr>
                <w:rFonts w:ascii="Times New Roman" w:eastAsia="Calibri" w:hAnsi="Times New Roman" w:cs="Times New Roman"/>
                <w:lang w:val="bg-BG"/>
              </w:rPr>
            </w:pPr>
            <w:r>
              <w:rPr>
                <w:rFonts w:ascii="Times New Roman" w:eastAsia="Calibri" w:hAnsi="Times New Roman" w:cs="Times New Roman"/>
                <w:lang w:val="bg-BG"/>
              </w:rPr>
              <w:t>Предоставени са планове за обучение, изготвени вследствие на анализ на потребностите. Документирано е повишаване на административния капацитет във всички отдели.</w:t>
            </w:r>
          </w:p>
        </w:tc>
        <w:tc>
          <w:tcPr>
            <w:tcW w:w="2490" w:type="dxa"/>
            <w:shd w:val="clear" w:color="auto" w:fill="FFFFFF" w:themeFill="background1"/>
          </w:tcPr>
          <w:p w:rsidR="002442AF" w:rsidRPr="008573D0" w:rsidRDefault="00F31476"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8931" w:type="dxa"/>
            <w:shd w:val="clear" w:color="auto" w:fill="FFFFFF" w:themeFill="background1"/>
          </w:tcPr>
          <w:p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lastRenderedPageBreak/>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rsidR="002442AF" w:rsidRPr="008573D0" w:rsidRDefault="001E55FF" w:rsidP="001E55F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Анализите и планираните обучения са ежегодни. Свързват се с промени в нормативната уредба и целят адекватна подготовка на служителите.</w:t>
            </w:r>
          </w:p>
        </w:tc>
        <w:tc>
          <w:tcPr>
            <w:tcW w:w="2490" w:type="dxa"/>
            <w:shd w:val="clear" w:color="auto" w:fill="FFFFFF" w:themeFill="background1"/>
          </w:tcPr>
          <w:p w:rsidR="002442AF" w:rsidRPr="008573D0" w:rsidRDefault="001E55FF"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15248" w:type="dxa"/>
            <w:gridSpan w:val="3"/>
            <w:shd w:val="clear" w:color="auto" w:fill="FBE4D5" w:themeFill="accent2" w:themeFillTint="33"/>
          </w:tcPr>
          <w:p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rsidTr="002442AF">
        <w:tc>
          <w:tcPr>
            <w:tcW w:w="8931" w:type="dxa"/>
            <w:shd w:val="clear" w:color="auto" w:fill="FFFFFF" w:themeFill="background1"/>
          </w:tcPr>
          <w:p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rsidR="002442AF" w:rsidRPr="008573D0" w:rsidRDefault="001E55FF" w:rsidP="001E55F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Изискванията за обявените свободни позиции са ясно разписани. Публикуват се протоколи с решения на комисии. Не се допуска дискриминация. Системите са оценка също са оповестени. </w:t>
            </w:r>
          </w:p>
        </w:tc>
        <w:tc>
          <w:tcPr>
            <w:tcW w:w="2490" w:type="dxa"/>
            <w:shd w:val="clear" w:color="auto" w:fill="FFFFFF" w:themeFill="background1"/>
          </w:tcPr>
          <w:p w:rsidR="002442AF" w:rsidRPr="008573D0" w:rsidRDefault="001E55FF"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8931" w:type="dxa"/>
            <w:shd w:val="clear" w:color="auto" w:fill="FFFFFF" w:themeFill="background1"/>
          </w:tcPr>
          <w:p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rsidR="002442AF" w:rsidRPr="008573D0" w:rsidRDefault="00E82FE7" w:rsidP="00E82FE7">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От представените работни планове и атестационни формуляри е видно, че се спазват изискванията и сроковете на Наредбата за атестиране на служителите в администрацията. Похвално е награждаването на лица и публичното му обявяване. Това мотивира служителите и подкрепя престижа на администрацията.</w:t>
            </w:r>
            <w:bookmarkStart w:id="0" w:name="_GoBack"/>
            <w:bookmarkEnd w:id="0"/>
          </w:p>
        </w:tc>
        <w:tc>
          <w:tcPr>
            <w:tcW w:w="2490" w:type="dxa"/>
            <w:shd w:val="clear" w:color="auto" w:fill="FFFFFF" w:themeFill="background1"/>
          </w:tcPr>
          <w:p w:rsidR="002442AF" w:rsidRPr="008573D0" w:rsidRDefault="001E55FF"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rsidTr="002442AF">
        <w:tc>
          <w:tcPr>
            <w:tcW w:w="8931" w:type="dxa"/>
            <w:shd w:val="clear" w:color="auto" w:fill="E2EFD9" w:themeFill="accent6" w:themeFillTint="33"/>
          </w:tcPr>
          <w:p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rsidR="002442AF" w:rsidRPr="002442AF" w:rsidRDefault="002442AF" w:rsidP="002442AF">
            <w:pPr>
              <w:shd w:val="clear" w:color="auto" w:fill="E2EFD9" w:themeFill="accent6" w:themeFillTint="33"/>
              <w:jc w:val="center"/>
              <w:rPr>
                <w:rFonts w:ascii="Times New Roman" w:eastAsia="Calibri" w:hAnsi="Times New Roman" w:cs="Times New Roman"/>
              </w:rPr>
            </w:pPr>
          </w:p>
          <w:p w:rsidR="002442AF" w:rsidRPr="002442AF" w:rsidRDefault="001E55FF" w:rsidP="002442AF">
            <w:pPr>
              <w:shd w:val="clear" w:color="auto" w:fill="E2EFD9" w:themeFill="accent6" w:themeFillTint="33"/>
              <w:jc w:val="center"/>
              <w:rPr>
                <w:rFonts w:ascii="Times New Roman" w:eastAsia="Calibri" w:hAnsi="Times New Roman" w:cs="Times New Roman"/>
                <w:lang w:val="bg-BG"/>
              </w:rPr>
            </w:pPr>
            <w:r>
              <w:rPr>
                <w:rFonts w:ascii="Times New Roman" w:eastAsia="Calibri" w:hAnsi="Times New Roman" w:cs="Times New Roman"/>
                <w:lang w:val="bg-BG"/>
              </w:rPr>
              <w:t>Заверка без резерви</w:t>
            </w:r>
          </w:p>
        </w:tc>
      </w:tr>
    </w:tbl>
    <w:p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EE1" w:rsidRDefault="00213EE1" w:rsidP="00B13C96">
      <w:pPr>
        <w:spacing w:after="0" w:line="240" w:lineRule="auto"/>
      </w:pPr>
      <w:r>
        <w:separator/>
      </w:r>
    </w:p>
  </w:endnote>
  <w:endnote w:type="continuationSeparator" w:id="0">
    <w:p w:rsidR="00213EE1" w:rsidRDefault="00213EE1"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EE1" w:rsidRDefault="00213EE1" w:rsidP="00B13C96">
      <w:pPr>
        <w:spacing w:after="0" w:line="240" w:lineRule="auto"/>
      </w:pPr>
      <w:r>
        <w:separator/>
      </w:r>
    </w:p>
  </w:footnote>
  <w:footnote w:type="continuationSeparator" w:id="0">
    <w:p w:rsidR="00213EE1" w:rsidRDefault="00213EE1"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C96" w:rsidRPr="00B13C96" w:rsidRDefault="00B13C96" w:rsidP="00B13C96">
    <w:pPr>
      <w:pStyle w:val="a4"/>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1F4"/>
    <w:rsid w:val="00141164"/>
    <w:rsid w:val="001E55FF"/>
    <w:rsid w:val="00213EE1"/>
    <w:rsid w:val="002442AF"/>
    <w:rsid w:val="00246FD8"/>
    <w:rsid w:val="002751F4"/>
    <w:rsid w:val="002C0C92"/>
    <w:rsid w:val="002C5294"/>
    <w:rsid w:val="00466C81"/>
    <w:rsid w:val="005D4B4F"/>
    <w:rsid w:val="005D67E1"/>
    <w:rsid w:val="00705F9C"/>
    <w:rsid w:val="007257D0"/>
    <w:rsid w:val="007942A6"/>
    <w:rsid w:val="008B038B"/>
    <w:rsid w:val="00B13C96"/>
    <w:rsid w:val="00BF0CD2"/>
    <w:rsid w:val="00DD192E"/>
    <w:rsid w:val="00E367A5"/>
    <w:rsid w:val="00E82FE7"/>
    <w:rsid w:val="00F31476"/>
    <w:rsid w:val="00F55B6C"/>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2513"/>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13C96"/>
    <w:pPr>
      <w:tabs>
        <w:tab w:val="center" w:pos="4536"/>
        <w:tab w:val="right" w:pos="9072"/>
      </w:tabs>
      <w:spacing w:after="0" w:line="240" w:lineRule="auto"/>
    </w:pPr>
  </w:style>
  <w:style w:type="character" w:customStyle="1" w:styleId="a5">
    <w:name w:val="Горен колонтитул Знак"/>
    <w:basedOn w:val="a0"/>
    <w:link w:val="a4"/>
    <w:uiPriority w:val="99"/>
    <w:rsid w:val="00B13C96"/>
  </w:style>
  <w:style w:type="paragraph" w:styleId="a6">
    <w:name w:val="footer"/>
    <w:basedOn w:val="a"/>
    <w:link w:val="a7"/>
    <w:uiPriority w:val="99"/>
    <w:unhideWhenUsed/>
    <w:rsid w:val="00B13C96"/>
    <w:pPr>
      <w:tabs>
        <w:tab w:val="center" w:pos="4536"/>
        <w:tab w:val="right" w:pos="9072"/>
      </w:tabs>
      <w:spacing w:after="0" w:line="240" w:lineRule="auto"/>
    </w:pPr>
  </w:style>
  <w:style w:type="character" w:customStyle="1" w:styleId="a7">
    <w:name w:val="Долен колонтитул Знак"/>
    <w:basedOn w:val="a0"/>
    <w:link w:val="a6"/>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487</Words>
  <Characters>2779</Characters>
  <Application>Microsoft Office Word</Application>
  <DocSecurity>0</DocSecurity>
  <Lines>23</Lines>
  <Paragraphs>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Direktor-finance</cp:lastModifiedBy>
  <cp:revision>10</cp:revision>
  <dcterms:created xsi:type="dcterms:W3CDTF">2022-07-05T10:46:00Z</dcterms:created>
  <dcterms:modified xsi:type="dcterms:W3CDTF">2025-05-16T07:09:00Z</dcterms:modified>
</cp:coreProperties>
</file>